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7D96" w14:textId="77777777" w:rsidR="009B7A76" w:rsidRPr="009B7A76" w:rsidRDefault="009B7A76" w:rsidP="009B7A76">
      <w:pPr>
        <w:keepNext/>
        <w:keepLines/>
        <w:spacing w:before="40" w:after="0" w:line="276" w:lineRule="auto"/>
        <w:jc w:val="both"/>
        <w:outlineLvl w:val="2"/>
        <w:rPr>
          <w:rFonts w:ascii="Arial" w:eastAsia="Times New Roman" w:hAnsi="Arial" w:cs="Arial"/>
          <w:color w:val="243F60"/>
          <w:sz w:val="20"/>
          <w:szCs w:val="20"/>
        </w:rPr>
      </w:pPr>
      <w:r w:rsidRPr="009B7A76">
        <w:rPr>
          <w:rFonts w:ascii="Arial" w:eastAsia="Times New Roman" w:hAnsi="Arial" w:cs="Arial"/>
          <w:color w:val="243F60"/>
          <w:sz w:val="20"/>
          <w:szCs w:val="20"/>
        </w:rPr>
        <w:t>Vaše práva v oblasti ochrany osobných údajov</w:t>
      </w:r>
    </w:p>
    <w:p w14:paraId="52C2B5D6"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p>
    <w:p w14:paraId="12C6C47D"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 prístup</w:t>
      </w:r>
    </w:p>
    <w:p w14:paraId="6E6C988B" w14:textId="77777777" w:rsidR="009B7A76" w:rsidRPr="009B7A76" w:rsidRDefault="009B7A76" w:rsidP="009B7A76">
      <w:pPr>
        <w:spacing w:after="0"/>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Máte právo na poskytnutie kópie osobných údajov, ktoré o vás máme k dispozícii, ako aj na informácie o tom, ako vaše osobné údaje používame.</w:t>
      </w:r>
    </w:p>
    <w:p w14:paraId="572501FC" w14:textId="77777777" w:rsidR="009B7A76" w:rsidRPr="009B7A76" w:rsidRDefault="009B7A76" w:rsidP="009B7A76">
      <w:pPr>
        <w:spacing w:after="0"/>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41C9F331" w14:textId="77777777" w:rsidR="009B7A76" w:rsidRPr="009B7A76" w:rsidRDefault="009B7A76" w:rsidP="009B7A76">
      <w:pPr>
        <w:keepNext/>
        <w:keepLines/>
        <w:spacing w:before="40" w:after="0" w:line="276" w:lineRule="auto"/>
        <w:jc w:val="both"/>
        <w:outlineLvl w:val="3"/>
        <w:rPr>
          <w:rFonts w:ascii="Arial" w:eastAsia="Times New Roman" w:hAnsi="Arial" w:cs="Arial"/>
          <w:i/>
          <w:iCs/>
          <w:color w:val="365F91"/>
          <w:sz w:val="20"/>
          <w:szCs w:val="20"/>
        </w:rPr>
      </w:pPr>
    </w:p>
    <w:p w14:paraId="7B83860C"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 opravu</w:t>
      </w:r>
    </w:p>
    <w:p w14:paraId="7FBA8619"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B76425"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 vymazanie</w:t>
      </w:r>
    </w:p>
    <w:p w14:paraId="6389AB0B"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373A967"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 obmedzenie spracúvania</w:t>
      </w:r>
    </w:p>
    <w:p w14:paraId="7736972D"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452937C"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 prenosnosť údajov</w:t>
      </w:r>
    </w:p>
    <w:p w14:paraId="6EF0B284"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22FD742E"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namietať</w:t>
      </w:r>
    </w:p>
    <w:p w14:paraId="705ED6DC"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165A113"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Práva súvisiace s automatizovaným rozhodovaním</w:t>
      </w:r>
    </w:p>
    <w:p w14:paraId="32E0FFCA"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 xml:space="preserve">Máte právo odmietnuť automatizované rozhodovanie, vrátane profilovania, z ktorého pre vás vyplynie právny alebo podobný významný dôsledok. Skutočnosť, či sú vaše osobné údaje spracúvané prostredníctvom týchto spracovateľských operácií si overte v príslušnej sekcii, podľa účelu spracúvania. </w:t>
      </w:r>
    </w:p>
    <w:p w14:paraId="7CC1B076" w14:textId="77777777" w:rsidR="009B7A76" w:rsidRPr="009B7A76" w:rsidRDefault="009B7A76" w:rsidP="009B7A76">
      <w:pPr>
        <w:keepNext/>
        <w:keepLines/>
        <w:spacing w:after="0"/>
        <w:jc w:val="both"/>
        <w:outlineLvl w:val="3"/>
        <w:rPr>
          <w:rFonts w:ascii="Arial" w:eastAsia="Times New Roman" w:hAnsi="Arial" w:cs="Arial"/>
          <w:i/>
          <w:iCs/>
          <w:color w:val="365F91"/>
          <w:sz w:val="20"/>
          <w:szCs w:val="20"/>
        </w:rPr>
      </w:pPr>
      <w:r w:rsidRPr="009B7A76">
        <w:rPr>
          <w:rFonts w:ascii="Arial" w:eastAsia="Times New Roman" w:hAnsi="Arial" w:cs="Arial"/>
          <w:i/>
          <w:iCs/>
          <w:color w:val="365F91"/>
          <w:sz w:val="20"/>
          <w:szCs w:val="20"/>
        </w:rPr>
        <w:t>Právo podať sťažnosť</w:t>
      </w:r>
    </w:p>
    <w:p w14:paraId="2D9BA088" w14:textId="77777777" w:rsidR="009B7A76" w:rsidRPr="009B7A76" w:rsidRDefault="009B7A76" w:rsidP="009B7A76">
      <w:pPr>
        <w:spacing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Ak chcete podať sťažnosť na spôsob, akým sú vaše osobné údaje spracúvané, vrátane uplatnenia vyššie uvedených práv, môžete sa obrátiť na našu Zodpovednú osobu. Všetky vaše podnety a sťažnosti riadne preveríme.</w:t>
      </w:r>
    </w:p>
    <w:p w14:paraId="466A54CD" w14:textId="77777777" w:rsidR="009B7A76" w:rsidRPr="009B7A76" w:rsidRDefault="009B7A76" w:rsidP="009B7A76">
      <w:pPr>
        <w:spacing w:before="100" w:beforeAutospacing="1" w:after="100" w:afterAutospacing="1"/>
        <w:jc w:val="both"/>
        <w:rPr>
          <w:rFonts w:ascii="Arial" w:eastAsia="Times New Roman" w:hAnsi="Arial" w:cs="Arial"/>
          <w:sz w:val="20"/>
          <w:szCs w:val="20"/>
          <w:lang w:eastAsia="sk-SK"/>
        </w:rPr>
      </w:pPr>
      <w:r w:rsidRPr="009B7A76">
        <w:rPr>
          <w:rFonts w:ascii="Arial" w:eastAsia="Times New Roman" w:hAnsi="Arial" w:cs="Arial"/>
          <w:sz w:val="20"/>
          <w:szCs w:val="20"/>
          <w:lang w:eastAsia="sk-SK"/>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4" w:tgtFrame="_blank" w:history="1">
        <w:r w:rsidRPr="009B7A76">
          <w:rPr>
            <w:rFonts w:ascii="Arial" w:eastAsia="Times New Roman" w:hAnsi="Arial" w:cs="Arial"/>
            <w:color w:val="0000FF"/>
            <w:sz w:val="20"/>
            <w:szCs w:val="20"/>
            <w:u w:val="single"/>
            <w:lang w:eastAsia="sk-SK"/>
          </w:rPr>
          <w:t>https://dataprotection.gov.sk</w:t>
        </w:r>
      </w:hyperlink>
      <w:r w:rsidRPr="009B7A76">
        <w:rPr>
          <w:rFonts w:ascii="Arial" w:eastAsia="Times New Roman" w:hAnsi="Arial" w:cs="Arial"/>
          <w:sz w:val="20"/>
          <w:szCs w:val="20"/>
          <w:lang w:eastAsia="sk-SK"/>
        </w:rPr>
        <w:t xml:space="preserve">, Hraničná 12, 820 07 Bratislava 27; tel. číslo: +421 /2/ 3231 3214; E-mail: s </w:t>
      </w:r>
      <w:hyperlink r:id="rId5" w:tgtFrame="_blank" w:history="1">
        <w:r w:rsidRPr="009B7A76">
          <w:rPr>
            <w:rFonts w:ascii="Arial" w:eastAsia="Times New Roman" w:hAnsi="Arial" w:cs="Arial"/>
            <w:color w:val="0000FF"/>
            <w:sz w:val="20"/>
            <w:szCs w:val="20"/>
            <w:u w:val="single"/>
            <w:lang w:eastAsia="sk-SK"/>
          </w:rPr>
          <w:t>statny.dozor@pdp.gov.sk</w:t>
        </w:r>
      </w:hyperlink>
    </w:p>
    <w:p w14:paraId="78441CAD" w14:textId="77777777" w:rsidR="009B7A76" w:rsidRPr="009B7A76" w:rsidRDefault="009B7A76" w:rsidP="009B7A76">
      <w:pPr>
        <w:tabs>
          <w:tab w:val="left" w:pos="4678"/>
        </w:tabs>
        <w:spacing w:after="0"/>
        <w:rPr>
          <w:rFonts w:ascii="Arial" w:eastAsia="Times New Roman" w:hAnsi="Arial" w:cs="Arial"/>
          <w:sz w:val="20"/>
          <w:szCs w:val="20"/>
        </w:rPr>
      </w:pPr>
    </w:p>
    <w:p w14:paraId="2C4E95D3" w14:textId="77777777" w:rsidR="00E01D02" w:rsidRDefault="00E01D02">
      <w:bookmarkStart w:id="0" w:name="_GoBack"/>
      <w:bookmarkEnd w:id="0"/>
    </w:p>
    <w:sectPr w:rsidR="00E01D02" w:rsidSect="00D87831">
      <w:pgSz w:w="11907" w:h="16839" w:code="9"/>
      <w:pgMar w:top="1417" w:right="1417" w:bottom="1417" w:left="1417" w:header="567" w:footer="39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13"/>
    <w:rsid w:val="009B7A76"/>
    <w:rsid w:val="00D50913"/>
    <w:rsid w:val="00E01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1589C-B552-47BD-A5E6-EF5937E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ny.dozor@pdp.gov.sk" TargetMode="External"/><Relationship Id="rId4" Type="http://schemas.openxmlformats.org/officeDocument/2006/relationships/hyperlink" Target="https://dataprotection.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Heinrich</dc:creator>
  <cp:keywords/>
  <dc:description/>
  <cp:lastModifiedBy>Marek Heinrich</cp:lastModifiedBy>
  <cp:revision>2</cp:revision>
  <dcterms:created xsi:type="dcterms:W3CDTF">2019-01-29T17:30:00Z</dcterms:created>
  <dcterms:modified xsi:type="dcterms:W3CDTF">2019-01-29T17:30:00Z</dcterms:modified>
</cp:coreProperties>
</file>